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96" w:type="dxa"/>
        <w:jc w:val="center"/>
        <w:tblLook w:val="04A0" w:firstRow="1" w:lastRow="0" w:firstColumn="1" w:lastColumn="0" w:noHBand="0" w:noVBand="1"/>
      </w:tblPr>
      <w:tblGrid>
        <w:gridCol w:w="3044"/>
        <w:gridCol w:w="1584"/>
        <w:gridCol w:w="2286"/>
      </w:tblGrid>
      <w:tr w:rsidR="00226F7E" w:rsidRPr="00361093" w:rsidTr="004D547A">
        <w:trPr>
          <w:trHeight w:val="1654"/>
          <w:jc w:val="center"/>
        </w:trPr>
        <w:tc>
          <w:tcPr>
            <w:tcW w:w="2337" w:type="dxa"/>
            <w:shd w:val="clear" w:color="auto" w:fill="auto"/>
          </w:tcPr>
          <w:p w:rsidR="00226F7E" w:rsidRPr="00361093" w:rsidRDefault="00226F7E" w:rsidP="004D547A">
            <w:pPr>
              <w:rPr>
                <w:sz w:val="20"/>
                <w:szCs w:val="20"/>
              </w:rPr>
            </w:pPr>
          </w:p>
          <w:p w:rsidR="00226F7E" w:rsidRPr="00361093" w:rsidRDefault="00226F7E" w:rsidP="004D547A">
            <w:pPr>
              <w:rPr>
                <w:sz w:val="20"/>
                <w:szCs w:val="20"/>
              </w:rPr>
            </w:pPr>
          </w:p>
          <w:p w:rsidR="00226F7E" w:rsidRPr="00361093" w:rsidRDefault="00226F7E" w:rsidP="004D547A">
            <w:pPr>
              <w:rPr>
                <w:sz w:val="20"/>
                <w:szCs w:val="20"/>
              </w:rPr>
            </w:pPr>
            <w:r w:rsidRPr="00361093">
              <w:rPr>
                <w:noProof/>
                <w:sz w:val="20"/>
                <w:szCs w:val="20"/>
                <w:lang w:eastAsia="lt-LT"/>
              </w:rPr>
              <w:drawing>
                <wp:inline distT="0" distB="0" distL="0" distR="0" wp14:anchorId="0EDEFAD8" wp14:editId="1B49F2B5">
                  <wp:extent cx="1796244" cy="904875"/>
                  <wp:effectExtent l="0" t="0" r="0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006" cy="907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shd w:val="clear" w:color="auto" w:fill="auto"/>
          </w:tcPr>
          <w:p w:rsidR="00226F7E" w:rsidRPr="00361093" w:rsidRDefault="00226F7E" w:rsidP="004D547A">
            <w:pPr>
              <w:jc w:val="center"/>
              <w:rPr>
                <w:sz w:val="20"/>
                <w:szCs w:val="20"/>
              </w:rPr>
            </w:pPr>
          </w:p>
          <w:p w:rsidR="00226F7E" w:rsidRPr="00361093" w:rsidRDefault="00226F7E" w:rsidP="004D547A">
            <w:pPr>
              <w:jc w:val="center"/>
              <w:rPr>
                <w:sz w:val="20"/>
                <w:szCs w:val="20"/>
              </w:rPr>
            </w:pPr>
            <w:r w:rsidRPr="00361093">
              <w:rPr>
                <w:noProof/>
                <w:sz w:val="20"/>
                <w:szCs w:val="20"/>
                <w:lang w:eastAsia="lt-LT"/>
              </w:rPr>
              <w:drawing>
                <wp:inline distT="0" distB="0" distL="0" distR="0" wp14:anchorId="7EF0D31B" wp14:editId="77DFAC57">
                  <wp:extent cx="781050" cy="914400"/>
                  <wp:effectExtent l="0" t="0" r="0" b="0"/>
                  <wp:docPr id="3" name="Paveikslėlis 3" descr="rokiskio-her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kiskio-her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shd w:val="clear" w:color="auto" w:fill="auto"/>
          </w:tcPr>
          <w:p w:rsidR="00226F7E" w:rsidRPr="00361093" w:rsidRDefault="00226F7E" w:rsidP="004D547A">
            <w:pPr>
              <w:rPr>
                <w:sz w:val="20"/>
                <w:szCs w:val="20"/>
              </w:rPr>
            </w:pPr>
            <w:r w:rsidRPr="00361093">
              <w:rPr>
                <w:noProof/>
                <w:sz w:val="20"/>
                <w:szCs w:val="20"/>
                <w:lang w:eastAsia="lt-LT"/>
              </w:rPr>
              <w:drawing>
                <wp:inline distT="0" distB="0" distL="0" distR="0" wp14:anchorId="5AE3776C" wp14:editId="636940C6">
                  <wp:extent cx="1304925" cy="1036320"/>
                  <wp:effectExtent l="0" t="0" r="9525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7E" w:rsidRPr="00361093" w:rsidTr="004D547A">
        <w:trPr>
          <w:trHeight w:val="265"/>
          <w:jc w:val="center"/>
        </w:trPr>
        <w:tc>
          <w:tcPr>
            <w:tcW w:w="2337" w:type="dxa"/>
            <w:shd w:val="clear" w:color="auto" w:fill="auto"/>
          </w:tcPr>
          <w:p w:rsidR="00226F7E" w:rsidRPr="00361093" w:rsidRDefault="00226F7E" w:rsidP="004D547A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361093">
                <w:rPr>
                  <w:rStyle w:val="Hipersaitas"/>
                  <w:i/>
                </w:rPr>
                <w:t>www.esinvesticijos.lt</w:t>
              </w:r>
            </w:hyperlink>
          </w:p>
        </w:tc>
        <w:tc>
          <w:tcPr>
            <w:tcW w:w="1779" w:type="dxa"/>
            <w:shd w:val="clear" w:color="auto" w:fill="auto"/>
          </w:tcPr>
          <w:p w:rsidR="00226F7E" w:rsidRPr="00361093" w:rsidRDefault="00226F7E" w:rsidP="004D547A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361093">
                <w:rPr>
                  <w:rStyle w:val="Hipersaitas"/>
                  <w:i/>
                </w:rPr>
                <w:t>www.rokiskis.lt</w:t>
              </w:r>
            </w:hyperlink>
          </w:p>
        </w:tc>
        <w:tc>
          <w:tcPr>
            <w:tcW w:w="2380" w:type="dxa"/>
            <w:shd w:val="clear" w:color="auto" w:fill="auto"/>
          </w:tcPr>
          <w:p w:rsidR="00226F7E" w:rsidRPr="00361093" w:rsidRDefault="00226F7E" w:rsidP="004D547A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361093">
                <w:rPr>
                  <w:rStyle w:val="Hipersaitas"/>
                  <w:i/>
                </w:rPr>
                <w:t>www.rmvvg.lt</w:t>
              </w:r>
            </w:hyperlink>
          </w:p>
        </w:tc>
      </w:tr>
    </w:tbl>
    <w:p w:rsidR="00226F7E" w:rsidRDefault="00226F7E" w:rsidP="00226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kvietimo projektai</w:t>
      </w:r>
      <w:bookmarkStart w:id="0" w:name="_GoBack"/>
      <w:bookmarkEnd w:id="0"/>
    </w:p>
    <w:p w:rsidR="00226F7E" w:rsidRDefault="00226F7E" w:rsidP="00226F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F7E" w:rsidRPr="001244F0" w:rsidRDefault="00226F7E" w:rsidP="00226F7E">
      <w:pPr>
        <w:jc w:val="both"/>
        <w:rPr>
          <w:rFonts w:ascii="Times New Roman" w:hAnsi="Times New Roman" w:cs="Times New Roman"/>
          <w:sz w:val="24"/>
          <w:szCs w:val="24"/>
        </w:rPr>
      </w:pPr>
      <w:r w:rsidRPr="001244F0">
        <w:rPr>
          <w:rFonts w:ascii="Times New Roman" w:hAnsi="Times New Roman" w:cs="Times New Roman"/>
          <w:b/>
          <w:sz w:val="24"/>
          <w:szCs w:val="24"/>
        </w:rPr>
        <w:t>Sporto klubas „</w:t>
      </w:r>
      <w:proofErr w:type="spellStart"/>
      <w:r w:rsidRPr="001244F0">
        <w:rPr>
          <w:rFonts w:ascii="Times New Roman" w:hAnsi="Times New Roman" w:cs="Times New Roman"/>
          <w:b/>
          <w:sz w:val="24"/>
          <w:szCs w:val="24"/>
        </w:rPr>
        <w:t>Tornado</w:t>
      </w:r>
      <w:proofErr w:type="spellEnd"/>
      <w:r w:rsidRPr="001244F0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1244F0">
        <w:rPr>
          <w:rFonts w:ascii="Times New Roman" w:hAnsi="Times New Roman" w:cs="Times New Roman"/>
          <w:sz w:val="24"/>
          <w:szCs w:val="24"/>
        </w:rPr>
        <w:t>projektas</w:t>
      </w:r>
      <w:r w:rsidRPr="001244F0">
        <w:rPr>
          <w:rFonts w:ascii="Times New Roman" w:hAnsi="Times New Roman" w:cs="Times New Roman"/>
          <w:b/>
          <w:sz w:val="24"/>
          <w:szCs w:val="24"/>
        </w:rPr>
        <w:t xml:space="preserve"> „Laisvalaikio užimtumo paslaugų plėtra Rokiškio miesto vaikams“</w:t>
      </w:r>
      <w:r w:rsidRPr="001244F0">
        <w:rPr>
          <w:rFonts w:ascii="Times New Roman" w:hAnsi="Times New Roman" w:cs="Times New Roman"/>
          <w:sz w:val="24"/>
          <w:szCs w:val="24"/>
        </w:rPr>
        <w:t xml:space="preserve"> didins Rokiškio miesto bendruomenės socialinę integraciją per praktinius kovos menų </w:t>
      </w:r>
      <w:proofErr w:type="spellStart"/>
      <w:r w:rsidRPr="001244F0">
        <w:rPr>
          <w:rFonts w:ascii="Times New Roman" w:hAnsi="Times New Roman" w:cs="Times New Roman"/>
          <w:sz w:val="24"/>
          <w:szCs w:val="24"/>
        </w:rPr>
        <w:t>užsiėmimus</w:t>
      </w:r>
      <w:proofErr w:type="spellEnd"/>
      <w:r w:rsidRPr="001244F0">
        <w:rPr>
          <w:rFonts w:ascii="Times New Roman" w:hAnsi="Times New Roman" w:cs="Times New Roman"/>
          <w:sz w:val="24"/>
          <w:szCs w:val="24"/>
        </w:rPr>
        <w:t xml:space="preserve">, organizuos mokymus susijusius su kovos menų taktikų tobulinimu, emocijų valdymu, sporto psichologija, kovos veiksmų panaudojimu. Siekiant plėtoti dalyvių socialinius įgūdžius, santykių stiprinimą, motyvaciją tobulėti organizuos dviračių žygius, sporto stovyklą, išvykas į kitų kovos menų klubų </w:t>
      </w:r>
      <w:proofErr w:type="spellStart"/>
      <w:r w:rsidRPr="001244F0">
        <w:rPr>
          <w:rFonts w:ascii="Times New Roman" w:hAnsi="Times New Roman" w:cs="Times New Roman"/>
          <w:sz w:val="24"/>
          <w:szCs w:val="24"/>
        </w:rPr>
        <w:t>užsiėmimus</w:t>
      </w:r>
      <w:proofErr w:type="spellEnd"/>
      <w:r w:rsidRPr="001244F0">
        <w:rPr>
          <w:rFonts w:ascii="Times New Roman" w:hAnsi="Times New Roman" w:cs="Times New Roman"/>
          <w:sz w:val="24"/>
          <w:szCs w:val="24"/>
        </w:rPr>
        <w:t>.</w:t>
      </w:r>
    </w:p>
    <w:p w:rsidR="00226F7E" w:rsidRPr="001244F0" w:rsidRDefault="00226F7E" w:rsidP="00226F7E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1244F0">
        <w:rPr>
          <w:rFonts w:ascii="Times New Roman" w:hAnsi="Times New Roman" w:cs="Times New Roman"/>
          <w:b/>
          <w:sz w:val="24"/>
          <w:szCs w:val="24"/>
        </w:rPr>
        <w:t xml:space="preserve">Rokiškio krašto muziejaus </w:t>
      </w:r>
      <w:r w:rsidRPr="001244F0">
        <w:rPr>
          <w:rFonts w:ascii="Times New Roman" w:hAnsi="Times New Roman" w:cs="Times New Roman"/>
          <w:sz w:val="24"/>
          <w:szCs w:val="24"/>
        </w:rPr>
        <w:t>projektas</w:t>
      </w:r>
      <w:r w:rsidRPr="001244F0">
        <w:rPr>
          <w:rFonts w:ascii="Times New Roman" w:hAnsi="Times New Roman" w:cs="Times New Roman"/>
          <w:b/>
          <w:sz w:val="24"/>
          <w:szCs w:val="24"/>
        </w:rPr>
        <w:t xml:space="preserve"> „Amatų meistrų mokymas Rokiškio mieste per neformalųjį švietimą“</w:t>
      </w:r>
      <w:r w:rsidRPr="001244F0">
        <w:rPr>
          <w:rFonts w:ascii="Times New Roman" w:hAnsi="Times New Roman" w:cs="Times New Roman"/>
          <w:sz w:val="24"/>
          <w:szCs w:val="24"/>
        </w:rPr>
        <w:t xml:space="preserve"> didins</w:t>
      </w:r>
      <w:r w:rsidRPr="008A04A7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8A04A7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Rokiškio miesto gyventojų įsidarbinimo galimybes, pasitelkiant  ne</w:t>
      </w:r>
      <w:r w:rsidRPr="001244F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formalaus švietimo veiklas: a</w:t>
      </w:r>
      <w:r w:rsidRPr="008A04A7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matų</w:t>
      </w:r>
      <w:r w:rsidRPr="001244F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, keramikos, tekstilės bei odos dirbinių mokymus. Rokiškio krašto muziejus taip pat vykdys seminarus ir kitus renginius, skatinančius projekto dalyvių įsidarbinimo galimybes.</w:t>
      </w:r>
      <w:r w:rsidRPr="001244F0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8A04A7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</w:p>
    <w:p w:rsidR="00226F7E" w:rsidRPr="001244F0" w:rsidRDefault="00226F7E" w:rsidP="00226F7E">
      <w:pPr>
        <w:jc w:val="both"/>
        <w:rPr>
          <w:rFonts w:ascii="Times New Roman" w:hAnsi="Times New Roman" w:cs="Times New Roman"/>
          <w:sz w:val="24"/>
          <w:szCs w:val="24"/>
        </w:rPr>
      </w:pPr>
      <w:r w:rsidRPr="001244F0">
        <w:rPr>
          <w:rFonts w:ascii="Times New Roman" w:hAnsi="Times New Roman" w:cs="Times New Roman"/>
          <w:b/>
          <w:sz w:val="24"/>
          <w:szCs w:val="24"/>
        </w:rPr>
        <w:t xml:space="preserve">VŠĮ „Rokiškio rajono ligoninė“ </w:t>
      </w:r>
      <w:r w:rsidRPr="001244F0">
        <w:rPr>
          <w:rFonts w:ascii="Times New Roman" w:hAnsi="Times New Roman" w:cs="Times New Roman"/>
          <w:sz w:val="24"/>
          <w:szCs w:val="24"/>
        </w:rPr>
        <w:t>projekte</w:t>
      </w:r>
      <w:r w:rsidRPr="001244F0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1244F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Pažink save ir būk laimingas Rokiškio mieste“</w:t>
      </w:r>
      <w:r w:rsidRPr="001244F0">
        <w:rPr>
          <w:rFonts w:ascii="Times New Roman" w:hAnsi="Times New Roman" w:cs="Times New Roman"/>
          <w:sz w:val="24"/>
          <w:szCs w:val="24"/>
        </w:rPr>
        <w:t xml:space="preserve"> skatins socialinę integraciją, užtikrins gyventojų poreikius atitinkančių socialinių paslaugų ir kitų susijusių paslaugų teikimą ir plėtrą. Teiks psichosocialinę pagalbą ir informaciją apie socialines paslaugas bei  ugdys socialinius įgūdžius per socialines </w:t>
      </w:r>
      <w:proofErr w:type="spellStart"/>
      <w:r w:rsidRPr="001244F0">
        <w:rPr>
          <w:rFonts w:ascii="Times New Roman" w:hAnsi="Times New Roman" w:cs="Times New Roman"/>
          <w:sz w:val="24"/>
          <w:szCs w:val="24"/>
        </w:rPr>
        <w:t>terapijas</w:t>
      </w:r>
      <w:proofErr w:type="spellEnd"/>
      <w:r w:rsidRPr="001244F0">
        <w:rPr>
          <w:rFonts w:ascii="Times New Roman" w:hAnsi="Times New Roman" w:cs="Times New Roman"/>
          <w:sz w:val="24"/>
          <w:szCs w:val="24"/>
        </w:rPr>
        <w:t>.</w:t>
      </w:r>
    </w:p>
    <w:p w:rsidR="002A75F7" w:rsidRDefault="002A75F7"/>
    <w:sectPr w:rsidR="002A75F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A"/>
    <w:rsid w:val="001143CA"/>
    <w:rsid w:val="00226F7E"/>
    <w:rsid w:val="002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2C509-42CF-4096-9505-EEAA73B6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6F7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26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nvesticijo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mvvg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2020-09-08T12:28:00Z</dcterms:created>
  <dcterms:modified xsi:type="dcterms:W3CDTF">2020-09-08T12:29:00Z</dcterms:modified>
</cp:coreProperties>
</file>